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ESTRATTO 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CONTRATTO COLLETTIVO DI LAVORO RELATIVO AL COMPARTO FUNZIONI LOCALI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TRIENNIO 2016-2018</w:t>
      </w:r>
    </w:p>
    <w:p w:rsidR="00ED3853" w:rsidRDefault="00ED3853" w:rsidP="00ED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3853" w:rsidRDefault="00ED3853" w:rsidP="00ED3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3853" w:rsidRPr="00ED3853" w:rsidRDefault="00ED3853" w:rsidP="00ED3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ED385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La</w:t>
      </w:r>
      <w:bookmarkStart w:id="0" w:name="_GoBack"/>
      <w:bookmarkEnd w:id="0"/>
      <w:r w:rsidRPr="00ED385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pubblicazione sul sito istituzionale dell'amministrazione del codice disciplinare, recante l'indicazione delle infrazioni e relative sanzioni, equivale a tutti gli effetti alla sua affissione all'ingresso della sede di lavoro (art. 55, comma 2, ultimo periodo, d.lgs. 165/2001). 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Art. 59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Codice disciplinare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Nel rispetto del principio di gradualità e proporzionalità delle sanzioni in relazione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alla gravità della mancanza, il tipo e l'entità di ciascuna delle sanzioni sono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determinati in relazione ai seguenti criteri generali: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intenzionalità del comportamento, grado di negligenza, imprudenza o imperizia</w:t>
      </w:r>
    </w:p>
    <w:p w:rsidR="00ED3853" w:rsidRDefault="00ED3853" w:rsidP="00ED38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dimostrate, tenuto conto anche della prevedibilità dell'evento;</w:t>
      </w:r>
    </w:p>
    <w:p w:rsidR="00ED3853" w:rsidRDefault="00ED3853" w:rsidP="00ED3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rilevanza degli obblighi violati;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responsabilità connesse alla posizione di lavoro occupata dal dipendente;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grado di danno o di pericolo causato all'amministrazione, agli utenti o a terzi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ovvero al disservizio determinatosi;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sussistenza di circostanze aggravanti o attenuanti, con particolare riguardo 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comportamento del lavoratore, ai precedenti disciplinari nell'ambito del biennio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previsto dalla legge, al comportamento verso gli utenti;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concorso nella violazione di più lavoratori in accordo tra di loro.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Al dipendente responsabile di più mancanze compiute con unica azione 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omissione o con più azioni od omissioni tra loro collegate ed accertate con un unico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procedimento, è applicabile la sanzione prevista per la mancanza più grave se 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suddette infrazioni sono punite con sanzioni di diversa gravità.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3.La sanzione disciplinare dal minimo del rimprovero verbale o scritto al massimo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della multa di importo pari a quattro ore di retribuzione si applica, graduando l'entità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delle sanzioni in relazione ai criteri di cui al comma 1, per: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inosservanza delle disposizioni di servizio, anche in tema di assenze per malattia,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nonché dell'orario di lavoro, ove non ricorrano le fattispecie considerate nell’art. 55-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quater, comma 1,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a)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165/2001;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condotta non conforme a principi di correttezza verso superiori o altri dipendenti o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 confronti degli utenti o terzi;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negligenza nell'esecuzione dei compiti assegnati, nella cura dei locali e dei beni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mobili o strumenti a lui affidati o sui quali, in relazione alle sue responsabilità, debba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espletare attività di custodia o vigilanza;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inosservanza degli obblighi in materia di prevenzione degli infortuni e di sicurezza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sul lavoro ove non ne sia derivato danno o pregiudizio al servizio o agli interessi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dell’amministrazione o di terzi;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rifiuto di assoggettarsi a visite personali disposte a tutela del patrimonio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dell'amministrazione, nel rispetto di quanto previsto dall' art. 6 della legge. n.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300/1970;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insufficiente rendimento nell'assolvimento dei compiti assegnati, ove non ricorrano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fattispecie considerate nell’art. 55- quater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165/2001;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violazione dell’obbligo previsto dall’art. 55- </w:t>
      </w:r>
      <w:proofErr w:type="spellStart"/>
      <w:r>
        <w:rPr>
          <w:rFonts w:ascii="Times New Roman" w:hAnsi="Times New Roman" w:cs="Times New Roman"/>
          <w:sz w:val="28"/>
          <w:szCs w:val="28"/>
        </w:rPr>
        <w:t>novies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165/2001;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h) violazione di doveri ed obblighi di comportamento non ricompresi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specificatamente nelle lettere precedenti, da cui sia derivato disservizio ovvero danno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pericolo all'amministrazione, agli utenti o ai terzi.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L'importo delle ritenute per multa sarà introitato dal bilancio dell'amministrazione e</w:t>
      </w:r>
    </w:p>
    <w:p w:rsidR="00ED3853" w:rsidRDefault="00ED3853" w:rsidP="00ED3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destinato ad attività sociali a favore dei dipendenti.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La sanzione disciplinare della sospensione dal servizio con privazione della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retribuzione fino a un massimo di 10 giorni si applica, graduando l'entità della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sanzione in relazione ai criteri di cui al comma 1, per: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recidiva nelle mancanze previste dal comma 3;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particolare gravità delle mancanze previste al comma 3;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ove non ricorra la fattispecie prevista dall’articolo55-quater, comma 1,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lett.b</w:t>
      </w:r>
      <w:proofErr w:type="spellEnd"/>
      <w:r>
        <w:rPr>
          <w:rFonts w:ascii="Times New Roman" w:hAnsi="Times New Roman" w:cs="Times New Roman"/>
          <w:sz w:val="28"/>
          <w:szCs w:val="28"/>
        </w:rPr>
        <w:t>)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165/2001, assenza ingiustificata dal servizio o arbitrario abbandono dello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stesso; in tali ipotesi, l'entità della sanzione è determinata in relazione alla durata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dell'assenza o dell'abbandono del servizio, al disservizio determinatosi, alla gravità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della violazione dei doveri del dipendente, agli eventuali danni causati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all'amministrazione, agli utenti o ai terzi;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ingiustificato ritardo, non superiore a 5 giorni, a trasferirsi nella sede assegnata dai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superiori;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svolgimento di attività che ritardino il recupero psico-fisico durante lo stato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malattia o di infortunio;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manifestazioni ingiuriose nei confronti dell'ente, salvo che siano espressione della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libertà di pensiero, ai sensi dell'art. 1 della legge n. 300/1970;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g) ove non sussista la gravità e reiterazione delle fattispecie considerate nell’art. 55-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quater, comma 1,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e) del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sz w:val="28"/>
          <w:szCs w:val="28"/>
        </w:rPr>
        <w:t>. n. 165/2001, atti, comportamenti o molestie,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lesivi della dignità della persona;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h) ove non sussista la gravità e reiterazione delle fattispecie considerate nell’art. 55-quater, comma 1,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e) del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sz w:val="28"/>
          <w:szCs w:val="28"/>
        </w:rPr>
        <w:t>. n. 165/2001, atti o comportamenti aggressivi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ostili e denigratori che assumano forme di violenza morale nei confronti di un altro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dipendente, comportamenti minacciosi, ingiuriosi, calunniosi o diffamatori nei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confronti di altri dipendenti o degli utenti o di terzi;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i) violazione di doveri ed obblighi di comportamento non ricompresi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specificatamente nelle lettere precedenti, da cui sia comunque derivato grave danno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all’ente e agli utenti o ai terzi.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La sospensione dal servizio con privazione della retribuzione fino ad un massimo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 quindici giorni si applica nel caso previsto dall’art.55-bis, comma 7,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 del 2001.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La sospensione dal servizio con privazione della retribuzione fino ad un massimo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 tre mesi, si applica nei casi previsti dall’art.55-sexies, comma 3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165/2001, anche con riferimento alla previsione di cui all’art. 55-septies, comma 6.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La sospensione dal servizio con privazione della retribuzione da un minimo di tre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giorni fino ad un massimo di tre mesi si applica nel caso previsto dall’art. 55-sexies,</w:t>
      </w:r>
    </w:p>
    <w:p w:rsidR="00ED3853" w:rsidRDefault="00ED3853" w:rsidP="00ED3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comma 1, 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165 del 2001.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La sanzione disciplinare della sospensione dal servizio con privazione della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retribuzione da 11 giorni fino ad un massimo di 6 mesi si applica, graduando l’entità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della sanzione in relazione ai criteri di cui al comma 1, per: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recidiva nel biennio delle mancanze previste nel comma 4;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b) occultamento, da parte del responsabile della custodia, del controllo o della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vigilanza, di fatti e circostanze relativi ad illecito uso, manomissione, distrazione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sottrazione di somme o beni di pertinenza dell’ente o ad esso affidati;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atti, comportamenti o molestie a carattere sessuale ove non sussista la gravità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reiterazione;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alterchi con vie di fatto negli ambienti di lavoro, anche con gli utenti;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e)violazione di doveri ed obblighi di comportamento non ricompresi specificatamente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nelle lettere precedenti da cui sia, comunque, derivato grave danno all’ente agli utenti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a terzi.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fino a due assenze ingiustificate dal servizio in continuità con le giornate festive e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riposo settimanale;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g) ingiustificate assenze collettive nei periodi in cui è necessario assicurare continuità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nell’erogazione di servizi all’utenza;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Ferma la disciplina in tema di licenziamento per giusta causa o giustificato motivo,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sanzione disciplinare del licenziamento si applica: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con preavviso per: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le ipotesi considerate dall’art. 55-quater, comma 1,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>. b) e c), da f bis)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fino a f)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quinquies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comma 3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quinquies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 D.Lgs.n.165/ 2001;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recidiva nel biennio nelle violazioni indicate nei commi 5, 6, 7 e 8.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recidiva plurima, in una delle mancanze previste ai commi precedenti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anche se di diversa natura, o recidiva, nel biennio, in una mancanza che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abbia già comportato l’applicazione della sanzione di sospensione dal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servizio e dalla retribuzione;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recidiva nel biennio di atti, comportamenti o molestie a carattere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sessuale o quando l’atto, il comportamento o la molestia rivestano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carattere di particolare gravità;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condanna passata in giudicato, per un delitto che, commesso fuori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servizio e non attinente in via diretta al rapporto di lavoro, non 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consenta la prosecuzione per la sua specifica gravità;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la violazione degli obblighi di comportamento di cui all’art 16, comma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secondo e terzo periodo del D.P.R. n. 62/2013;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g) violazione dei doveri e degli obblighi di comportamento non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ricompresi specificatamente nelle lettere precedenti di gravità tale,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secondo i criteri di cui al comma 1, da non consentire la prosecuzione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rapporto di lavoro;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h) mancata ripresa del servizio, salvo casi di comprovato impedimento,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dopo periodi di interruzione dell’attività previsti dalle disposizioni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legislative e contrattuali vigenti, alla conclusione del periodo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sospensione o alla scadenza del termine fissato dall’amministrazione;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senza preavviso per: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le ipotesi considerate nell’art. 55-quater, comma 1, </w:t>
      </w:r>
      <w:proofErr w:type="spellStart"/>
      <w:r>
        <w:rPr>
          <w:rFonts w:ascii="Times New Roman" w:hAnsi="Times New Roman" w:cs="Times New Roman"/>
          <w:sz w:val="28"/>
          <w:szCs w:val="28"/>
        </w:rPr>
        <w:t>lett</w:t>
      </w:r>
      <w:proofErr w:type="spellEnd"/>
      <w:r>
        <w:rPr>
          <w:rFonts w:ascii="Times New Roman" w:hAnsi="Times New Roman" w:cs="Times New Roman"/>
          <w:sz w:val="28"/>
          <w:szCs w:val="28"/>
        </w:rPr>
        <w:t>. a), d), e) ed f)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 165/2001;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commissione di gravi fatti illeciti di rilevanza penale, ivi compresi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quelli che possono dare luogo alla sospensione cautelare, secondo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disciplina dell’art. 61, fatto salvo quanto previsto dall’art. 62;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condanna passata in giudicato per un delitto commesso in servizio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fuori servizio che, pur non attenendo in via diretta al rapporto di lavoro,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non ne consenta neanche provvisoriamente la prosecuzione per la sua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specifica gravità;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commissione in genere - anche nei confronti di terzi - di fatti o atti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dolosi, che, pur non costituendo illeciti di rilevanza penale, sono di gravità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tale da non consentire la prosecuzione neppure provvisoria del rapporto 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lavoro;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condanna, anche non passata in giudicato: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per i delitti indicati dall’art.7, comma 1, e 8, comma 1, del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D.Lgs.n.235/2012;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quando alla condanna consegua comunque l’interdizione perpetua dai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pubblici uffici;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per i delitti previsti dall’art. 3, comma 1, della legge 27 marzo 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n.97;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per gravi delitti commessi in servizio;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violazioni intenzionali degli obblighi, non ricomprese specificatamente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nelle lettere precedenti, anche nei confronti di terzi, di gravità tale,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relazione ai criteri di cui al comma 1, da non consentire la prosecuzione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neppure provvisoria del rapporto di lavoro.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Le mancanze non espressamente previste nei commi precedenti sono comunque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sanzionate secondo i criteri di cui al comma 1, facendosi riferimento, quanto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all'individuazione dei fatti sanzionabili, agli obblighi dei lavoratori di cui all’art. 57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facendosi riferimento, quanto al tipo e alla misura delle sanzioni, ai principi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desumibili dai commi precedenti.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Al codice disciplinare, di cui al presente articolo, deve essere data la massima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pubblicità mediante pubblicazione sul sito istituzionale dell’ente secondo 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previsioni dell’art. 55, comma 2, ultimo periodo, del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Lgs</w:t>
      </w:r>
      <w:proofErr w:type="spellEnd"/>
      <w:r>
        <w:rPr>
          <w:rFonts w:ascii="Times New Roman" w:hAnsi="Times New Roman" w:cs="Times New Roman"/>
          <w:sz w:val="28"/>
          <w:szCs w:val="28"/>
        </w:rPr>
        <w:t>. n. 165/2001.</w:t>
      </w: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853" w:rsidRDefault="00ED3853" w:rsidP="00ED385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12. In sede di prima applicazione del presente CCNL, il codice disciplinare deve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essere obbligatoriamente reso pubblico nelle forme di cui al comma 11, entro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giorni dalla data di stipulazione del CCNL e si applica dal quindicesimo giorno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successivo a quello della sua pubblicazione.</w:t>
      </w:r>
    </w:p>
    <w:sectPr w:rsidR="00ED3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B3"/>
    <w:rsid w:val="0004430B"/>
    <w:rsid w:val="000721B3"/>
    <w:rsid w:val="00766910"/>
    <w:rsid w:val="00E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8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8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2</cp:revision>
  <cp:lastPrinted>2018-06-07T17:47:00Z</cp:lastPrinted>
  <dcterms:created xsi:type="dcterms:W3CDTF">2018-06-07T17:41:00Z</dcterms:created>
  <dcterms:modified xsi:type="dcterms:W3CDTF">2018-06-07T17:51:00Z</dcterms:modified>
</cp:coreProperties>
</file>